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82F4" w14:textId="77777777" w:rsidR="001700AA" w:rsidRPr="00E2630F" w:rsidRDefault="001700AA" w:rsidP="001700AA">
      <w:pPr>
        <w:rPr>
          <w:b/>
          <w:noProof/>
        </w:rPr>
      </w:pPr>
      <w:bookmarkStart w:id="0" w:name="_GoBack"/>
      <w:bookmarkEnd w:id="0"/>
      <w:r w:rsidRPr="00E2630F">
        <w:rPr>
          <w:b/>
          <w:noProof/>
        </w:rPr>
        <w:t>The Advice of Dr Satvinder Juss, King’s College, University of London re: the</w:t>
      </w:r>
    </w:p>
    <w:p w14:paraId="6E69A500" w14:textId="77777777" w:rsidR="004E4749" w:rsidRDefault="001700AA" w:rsidP="001700AA">
      <w:pPr>
        <w:rPr>
          <w:b/>
          <w:noProof/>
        </w:rPr>
      </w:pPr>
      <w:r w:rsidRPr="00E2630F">
        <w:rPr>
          <w:b/>
          <w:noProof/>
        </w:rPr>
        <w:t>High Court ruling on Religious Education</w:t>
      </w:r>
    </w:p>
    <w:p w14:paraId="65EBF373" w14:textId="77777777" w:rsidR="001700AA" w:rsidRDefault="001700AA" w:rsidP="001700AA">
      <w:pPr>
        <w:rPr>
          <w:b/>
          <w:noProof/>
        </w:rPr>
      </w:pPr>
    </w:p>
    <w:tbl>
      <w:tblPr>
        <w:tblStyle w:val="TableGrid"/>
        <w:tblW w:w="0" w:type="auto"/>
        <w:tblLook w:val="04A0" w:firstRow="1" w:lastRow="0" w:firstColumn="1" w:lastColumn="0" w:noHBand="0" w:noVBand="1"/>
      </w:tblPr>
      <w:tblGrid>
        <w:gridCol w:w="8516"/>
      </w:tblGrid>
      <w:tr w:rsidR="001700AA" w14:paraId="25E40094" w14:textId="77777777" w:rsidTr="001700AA">
        <w:tc>
          <w:tcPr>
            <w:tcW w:w="8516" w:type="dxa"/>
          </w:tcPr>
          <w:p w14:paraId="27E765C2" w14:textId="77777777" w:rsidR="001700AA" w:rsidRDefault="001700AA" w:rsidP="001700AA">
            <w:pPr>
              <w:rPr>
                <w:noProof/>
              </w:rPr>
            </w:pPr>
            <w:r>
              <w:rPr>
                <w:noProof/>
              </w:rPr>
              <w:t>We have spoken to t</w:t>
            </w:r>
            <w:r w:rsidRPr="00E81DE7">
              <w:rPr>
                <w:noProof/>
              </w:rPr>
              <w:t xml:space="preserve">he DfE </w:t>
            </w:r>
            <w:r>
              <w:rPr>
                <w:noProof/>
              </w:rPr>
              <w:t xml:space="preserve">and can confirm that </w:t>
            </w:r>
            <w:r w:rsidRPr="00E81DE7">
              <w:rPr>
                <w:noProof/>
              </w:rPr>
              <w:t xml:space="preserve">it is not for the British Humanist Association to </w:t>
            </w:r>
            <w:r>
              <w:rPr>
                <w:noProof/>
              </w:rPr>
              <w:t>issue legal guidance to schools.</w:t>
            </w:r>
            <w:r w:rsidRPr="00E81DE7">
              <w:rPr>
                <w:noProof/>
              </w:rPr>
              <w:t xml:space="preserve"> </w:t>
            </w:r>
            <w:r>
              <w:rPr>
                <w:noProof/>
              </w:rPr>
              <w:t>The DfE has confirmed that</w:t>
            </w:r>
            <w:r w:rsidRPr="00E81DE7">
              <w:rPr>
                <w:noProof/>
              </w:rPr>
              <w:t xml:space="preserve"> the guidance published in December is still correct (</w:t>
            </w:r>
            <w:r>
              <w:rPr>
                <w:noProof/>
              </w:rPr>
              <w:t>to access the guidance go to</w:t>
            </w:r>
            <w:r w:rsidRPr="00E81DE7">
              <w:rPr>
                <w:noProof/>
              </w:rPr>
              <w:t xml:space="preserve">: </w:t>
            </w:r>
            <w:hyperlink r:id="rId7" w:history="1">
              <w:r w:rsidRPr="00E81DE7">
                <w:rPr>
                  <w:rStyle w:val="Hyperlink"/>
                  <w:noProof/>
                </w:rPr>
                <w:t>https://www.gov.uk/government/uploads/system/uploads/attachment_data/file/488477/RS_guidance.pdf</w:t>
              </w:r>
            </w:hyperlink>
            <w:r>
              <w:rPr>
                <w:noProof/>
              </w:rPr>
              <w:t>).</w:t>
            </w:r>
          </w:p>
          <w:p w14:paraId="73379B4A" w14:textId="77777777" w:rsidR="001700AA" w:rsidRDefault="001700AA" w:rsidP="001700AA">
            <w:pPr>
              <w:rPr>
                <w:noProof/>
              </w:rPr>
            </w:pPr>
          </w:p>
          <w:p w14:paraId="374D6197" w14:textId="77777777" w:rsidR="001700AA" w:rsidRDefault="001700AA" w:rsidP="001700AA">
            <w:pPr>
              <w:rPr>
                <w:noProof/>
              </w:rPr>
            </w:pPr>
            <w:r>
              <w:rPr>
                <w:noProof/>
              </w:rPr>
              <w:t>Likewise they state:</w:t>
            </w:r>
          </w:p>
          <w:p w14:paraId="2EA5B380" w14:textId="77777777" w:rsidR="001700AA" w:rsidRPr="001700AA" w:rsidRDefault="001700AA" w:rsidP="001700AA">
            <w:pPr>
              <w:keepNext/>
              <w:keepLines/>
              <w:spacing w:before="200"/>
              <w:outlineLvl w:val="7"/>
              <w:rPr>
                <w:i/>
                <w:lang w:val="en-US"/>
              </w:rPr>
            </w:pPr>
            <w:r w:rsidRPr="001700AA">
              <w:rPr>
                <w:rFonts w:cs="Arial"/>
                <w:i/>
              </w:rPr>
              <w:t>The Judicial Review of the Religious Studies (RS) GCSE was based on a narrow technical point relating to the meaning of a guidance document for Awarding Organisations.</w:t>
            </w:r>
            <w:r>
              <w:rPr>
                <w:i/>
                <w:lang w:val="en-US"/>
              </w:rPr>
              <w:t xml:space="preserve"> </w:t>
            </w:r>
            <w:r w:rsidRPr="001700AA">
              <w:rPr>
                <w:i/>
                <w:lang w:val="en-US"/>
              </w:rPr>
              <w:t>We strongly believe the judgment has no broader impact on any religious education (RE) curriculum or the RS GCSE subject content in either faith or non-faith schools.</w:t>
            </w:r>
          </w:p>
        </w:tc>
      </w:tr>
    </w:tbl>
    <w:p w14:paraId="36F707C1" w14:textId="77777777" w:rsidR="001700AA" w:rsidRDefault="001700AA" w:rsidP="001700AA"/>
    <w:p w14:paraId="3DF156B9" w14:textId="3535C8C0" w:rsidR="001700AA" w:rsidRPr="00E2630F" w:rsidRDefault="001700AA" w:rsidP="001700AA">
      <w:pPr>
        <w:rPr>
          <w:noProof/>
        </w:rPr>
      </w:pPr>
      <w:r w:rsidRPr="00E2630F">
        <w:rPr>
          <w:noProof/>
        </w:rPr>
        <w:t xml:space="preserve">Recently </w:t>
      </w:r>
      <w:r>
        <w:rPr>
          <w:noProof/>
        </w:rPr>
        <w:t>c</w:t>
      </w:r>
      <w:r w:rsidR="008E4C2E">
        <w:rPr>
          <w:noProof/>
        </w:rPr>
        <w:t>lerks to SACREs,</w:t>
      </w:r>
      <w:r w:rsidRPr="00E2630F">
        <w:rPr>
          <w:noProof/>
        </w:rPr>
        <w:t xml:space="preserve"> professional officers to SACRE</w:t>
      </w:r>
      <w:r w:rsidR="006C14B4">
        <w:rPr>
          <w:noProof/>
        </w:rPr>
        <w:t>,</w:t>
      </w:r>
      <w:r w:rsidR="008E4C2E">
        <w:rPr>
          <w:noProof/>
        </w:rPr>
        <w:t xml:space="preserve"> schools </w:t>
      </w:r>
      <w:r w:rsidR="006C14B4">
        <w:rPr>
          <w:noProof/>
        </w:rPr>
        <w:t xml:space="preserve">and academies </w:t>
      </w:r>
      <w:r w:rsidRPr="00E2630F">
        <w:rPr>
          <w:noProof/>
        </w:rPr>
        <w:t>will have received a mailing from the British Humanist Association that has an attachment with the title:</w:t>
      </w:r>
    </w:p>
    <w:p w14:paraId="6E98C85A" w14:textId="77777777" w:rsidR="001700AA" w:rsidRPr="00E2630F" w:rsidRDefault="001700AA" w:rsidP="001700AA">
      <w:pPr>
        <w:rPr>
          <w:noProof/>
        </w:rPr>
      </w:pPr>
    </w:p>
    <w:p w14:paraId="764B1A08" w14:textId="77777777" w:rsidR="001700AA" w:rsidRDefault="001700AA" w:rsidP="001700AA">
      <w:pPr>
        <w:rPr>
          <w:rFonts w:ascii="Avenir LT Std 45 Book" w:hAnsi="Avenir LT Std 45 Book" w:cs="Avenir LT Std 45 Book"/>
          <w:noProof/>
        </w:rPr>
      </w:pPr>
      <w:r w:rsidRPr="00E2630F">
        <w:rPr>
          <w:b/>
          <w:noProof/>
        </w:rPr>
        <w:t xml:space="preserve">High Court ruling on Religious Education. </w:t>
      </w:r>
      <w:r w:rsidRPr="00E2630F">
        <w:rPr>
          <w:rFonts w:ascii="Avenir LT Std 45 Book" w:hAnsi="Avenir LT Std 45 Book" w:cs="Avenir LT Std 45 Book"/>
          <w:noProof/>
        </w:rPr>
        <w:t>Legal guidance on what it means for local authorities, academies, schools, teachers, Agreed Syllabus Conferences, and SACREs.</w:t>
      </w:r>
    </w:p>
    <w:p w14:paraId="3A329021" w14:textId="77777777" w:rsidR="001700AA" w:rsidRDefault="001700AA" w:rsidP="001700AA">
      <w:pPr>
        <w:rPr>
          <w:rFonts w:ascii="Avenir LT Std 45 Book" w:hAnsi="Avenir LT Std 45 Book" w:cs="Avenir LT Std 45 Book"/>
          <w:noProof/>
        </w:rPr>
      </w:pPr>
    </w:p>
    <w:p w14:paraId="40D01921" w14:textId="5E0569CE" w:rsidR="001700AA" w:rsidRDefault="001700AA" w:rsidP="001700AA">
      <w:pPr>
        <w:rPr>
          <w:rFonts w:ascii="Avenir LT Std 45 Book" w:hAnsi="Avenir LT Std 45 Book" w:cs="Avenir LT Std 45 Book"/>
          <w:noProof/>
        </w:rPr>
      </w:pPr>
      <w:r>
        <w:rPr>
          <w:rFonts w:ascii="Avenir LT Std 45 Book" w:hAnsi="Avenir LT Std 45 Book" w:cs="Avenir LT Std 45 Book"/>
          <w:noProof/>
        </w:rPr>
        <w:t>The publication comes directly from Professor Juss, Kings College, University of London in light of his under</w:t>
      </w:r>
      <w:r w:rsidR="009862E5">
        <w:rPr>
          <w:rFonts w:ascii="Avenir LT Std 45 Book" w:hAnsi="Avenir LT Std 45 Book" w:cs="Avenir LT Std 45 Book"/>
          <w:noProof/>
        </w:rPr>
        <w:t>standing of the High Court judg</w:t>
      </w:r>
      <w:r>
        <w:rPr>
          <w:rFonts w:ascii="Avenir LT Std 45 Book" w:hAnsi="Avenir LT Std 45 Book" w:cs="Avenir LT Std 45 Book"/>
          <w:noProof/>
        </w:rPr>
        <w:t xml:space="preserve">ment of Mr Justice </w:t>
      </w:r>
      <w:r w:rsidR="00946B83">
        <w:rPr>
          <w:rFonts w:ascii="Avenir LT Std 45 Book" w:hAnsi="Avenir LT Std 45 Book" w:cs="Avenir LT Std 45 Book"/>
          <w:noProof/>
        </w:rPr>
        <w:t xml:space="preserve">Warby </w:t>
      </w:r>
      <w:r>
        <w:rPr>
          <w:rFonts w:ascii="Avenir LT Std 45 Book" w:hAnsi="Avenir LT Std 45 Book" w:cs="Avenir LT Std 45 Book"/>
          <w:noProof/>
        </w:rPr>
        <w:t>of 25</w:t>
      </w:r>
      <w:r w:rsidRPr="00A97160">
        <w:rPr>
          <w:rFonts w:ascii="Avenir LT Std 45 Book" w:hAnsi="Avenir LT Std 45 Book" w:cs="Avenir LT Std 45 Book"/>
          <w:noProof/>
          <w:vertAlign w:val="superscript"/>
        </w:rPr>
        <w:t>th</w:t>
      </w:r>
      <w:r w:rsidR="00946B83">
        <w:rPr>
          <w:rFonts w:ascii="Avenir LT Std 45 Book" w:hAnsi="Avenir LT Std 45 Book" w:cs="Avenir LT Std 45 Book"/>
          <w:noProof/>
        </w:rPr>
        <w:t xml:space="preserve"> November, 2015.</w:t>
      </w:r>
    </w:p>
    <w:p w14:paraId="0A60EA59" w14:textId="77777777" w:rsidR="001700AA" w:rsidRDefault="001700AA" w:rsidP="001700AA">
      <w:pPr>
        <w:rPr>
          <w:rFonts w:ascii="Avenir LT Std 45 Book" w:hAnsi="Avenir LT Std 45 Book" w:cs="Avenir LT Std 45 Book"/>
          <w:noProof/>
        </w:rPr>
      </w:pPr>
    </w:p>
    <w:p w14:paraId="3630B62E" w14:textId="349E1CD4" w:rsidR="00100C3D" w:rsidRDefault="006C14B4" w:rsidP="001700AA">
      <w:pPr>
        <w:sectPr w:rsidR="00100C3D" w:rsidSect="00035F12">
          <w:pgSz w:w="11900" w:h="16840"/>
          <w:pgMar w:top="1440" w:right="1800" w:bottom="1440" w:left="1800" w:header="708" w:footer="708" w:gutter="0"/>
          <w:cols w:space="708"/>
          <w:docGrid w:linePitch="360"/>
        </w:sectPr>
      </w:pPr>
      <w:r>
        <w:t>It is important to recognise that the j</w:t>
      </w:r>
      <w:r w:rsidR="009862E5">
        <w:t>udg</w:t>
      </w:r>
      <w:r>
        <w:t>ment by Mr Justice Warby was answering a specific point.  The claim was that The Assertion made in the 2</w:t>
      </w:r>
      <w:r w:rsidRPr="00985CDD">
        <w:rPr>
          <w:vertAlign w:val="superscript"/>
        </w:rPr>
        <w:t>nd</w:t>
      </w:r>
      <w:r>
        <w:t xml:space="preserve"> paragraph of the Religious studies GCSE subject content that was published in February 2015 was unlawful.  </w:t>
      </w:r>
      <w:r>
        <w:lastRenderedPageBreak/>
        <w:t>The contested 2</w:t>
      </w:r>
      <w:r w:rsidRPr="00985CDD">
        <w:rPr>
          <w:vertAlign w:val="superscript"/>
        </w:rPr>
        <w:t>nd</w:t>
      </w:r>
      <w:r>
        <w:t xml:space="preserve"> paragraph states, “By setting out the range of subject content and areas of study for GCSE specifications in religious studies, the subject content is consistent with the requirements for the statutory provision for religious education in current legislation as it applies to different types </w:t>
      </w:r>
      <w:r w:rsidR="009862E5">
        <w:t>of school.”</w:t>
      </w:r>
      <w:r w:rsidR="009862E5">
        <w:br/>
      </w:r>
      <w:r w:rsidR="009862E5">
        <w:br/>
        <w:t>In making his judg</w:t>
      </w:r>
      <w:r>
        <w:t xml:space="preserve">ment on this specific question Mr Justice Warby said:  I have no doubt that an RS GCSE specification consistent with The Subject Content </w:t>
      </w:r>
      <w:r w:rsidRPr="00790BD2">
        <w:rPr>
          <w:i/>
        </w:rPr>
        <w:t>could</w:t>
      </w:r>
      <w:r>
        <w:t xml:space="preserve"> satisfy the state’s legal obligations.  The question however, is whether it is true to say that such a specification </w:t>
      </w:r>
      <w:r w:rsidRPr="00790BD2">
        <w:rPr>
          <w:i/>
        </w:rPr>
        <w:t>will</w:t>
      </w:r>
      <w:r>
        <w:t xml:space="preserve"> satisfy those obligations.  The answer to that question is no; and it follows that in my judgment The Assertion is materially misleading.”</w:t>
      </w:r>
      <w:r w:rsidR="009862E5">
        <w:t xml:space="preserve"> (para 68)</w:t>
      </w:r>
      <w:r w:rsidR="009862E5">
        <w:br/>
      </w:r>
      <w:r w:rsidR="009862E5">
        <w:br/>
        <w:t>To explain his judg</w:t>
      </w:r>
      <w:r>
        <w:t>ment Mr Justice Warby, in paragraph 74, adds th</w:t>
      </w:r>
      <w:r w:rsidR="00100C3D">
        <w:t>e following words:  ‘</w:t>
      </w:r>
      <w:r>
        <w:t xml:space="preserve">…the complete exclusion of any study of non-religious beliefs for the whole of Key Stage 4, for which the Subject Content would allow, would not in my </w:t>
      </w:r>
      <w:r w:rsidR="00100C3D">
        <w:t>judgment be compatible with A2P1’</w:t>
      </w:r>
      <w:r w:rsidR="00100C3D">
        <w:rPr>
          <w:rStyle w:val="EndnoteReference"/>
        </w:rPr>
        <w:endnoteReference w:id="1"/>
      </w:r>
      <w:r w:rsidR="0084676F">
        <w:t>.</w:t>
      </w:r>
    </w:p>
    <w:p w14:paraId="422BFFA3" w14:textId="65EBCF0B" w:rsidR="001700AA" w:rsidRPr="00E2630F" w:rsidRDefault="001700AA" w:rsidP="001700AA">
      <w:pPr>
        <w:rPr>
          <w:rFonts w:ascii="Avenir LT Std 45 Book" w:hAnsi="Avenir LT Std 45 Book" w:cs="Avenir LT Std 45 Book"/>
          <w:noProof/>
        </w:rPr>
      </w:pPr>
    </w:p>
    <w:p w14:paraId="2CFAFA64" w14:textId="56F1E1EC" w:rsidR="001700AA" w:rsidRDefault="001700AA" w:rsidP="001700AA">
      <w:pPr>
        <w:rPr>
          <w:rFonts w:ascii="Avenir LT Std 45 Book" w:hAnsi="Avenir LT Std 45 Book" w:cs="Avenir LT Std 45 Book"/>
          <w:noProof/>
        </w:rPr>
      </w:pPr>
      <w:r>
        <w:rPr>
          <w:rFonts w:ascii="Avenir LT Std 45 Book" w:hAnsi="Avenir LT Std 45 Book" w:cs="Avenir LT Std 45 Book"/>
          <w:noProof/>
        </w:rPr>
        <w:t>I</w:t>
      </w:r>
      <w:r w:rsidRPr="00E2630F">
        <w:rPr>
          <w:rFonts w:ascii="Avenir LT Std 45 Book" w:hAnsi="Avenir LT Std 45 Book" w:cs="Avenir LT Std 45 Book"/>
          <w:noProof/>
        </w:rPr>
        <w:t xml:space="preserve">t is important to note that </w:t>
      </w:r>
      <w:r w:rsidR="00946B83">
        <w:rPr>
          <w:rFonts w:ascii="Avenir LT Std 45 Book" w:hAnsi="Avenir LT Std 45 Book" w:cs="Avenir LT Std 45 Book"/>
          <w:noProof/>
        </w:rPr>
        <w:t>Professor Juss’s publication</w:t>
      </w:r>
      <w:r w:rsidRPr="00E2630F">
        <w:rPr>
          <w:rFonts w:ascii="Avenir LT Std 45 Book" w:hAnsi="Avenir LT Std 45 Book" w:cs="Avenir LT Std 45 Book"/>
          <w:noProof/>
        </w:rPr>
        <w:t xml:space="preserve"> is </w:t>
      </w:r>
      <w:r w:rsidR="009862E5">
        <w:rPr>
          <w:rFonts w:ascii="Avenir LT Std 45 Book" w:hAnsi="Avenir LT Std 45 Book" w:cs="Avenir LT Std 45 Book"/>
          <w:noProof/>
        </w:rPr>
        <w:t>the opinion of</w:t>
      </w:r>
      <w:r w:rsidR="008E4C2E">
        <w:rPr>
          <w:rFonts w:ascii="Avenir LT Std 45 Book" w:hAnsi="Avenir LT Std 45 Book" w:cs="Avenir LT Std 45 Book"/>
          <w:noProof/>
        </w:rPr>
        <w:t xml:space="preserve"> one lawyer </w:t>
      </w:r>
      <w:r w:rsidRPr="00E2630F">
        <w:rPr>
          <w:rFonts w:ascii="Avenir LT Std 45 Book" w:hAnsi="Avenir LT Std 45 Book" w:cs="Avenir LT Std 45 Book"/>
          <w:noProof/>
        </w:rPr>
        <w:t xml:space="preserve">and not </w:t>
      </w:r>
      <w:r>
        <w:rPr>
          <w:rFonts w:ascii="Avenir LT Std 45 Book" w:hAnsi="Avenir LT Std 45 Book" w:cs="Avenir LT Std 45 Book"/>
          <w:noProof/>
        </w:rPr>
        <w:t>the statutory requirement as set out in current legislation. SACREs and ASC would normally consult their local authority’s legal services on matters such as these.</w:t>
      </w:r>
    </w:p>
    <w:p w14:paraId="33649091" w14:textId="77777777" w:rsidR="001700AA" w:rsidRDefault="001700AA" w:rsidP="001700AA">
      <w:pPr>
        <w:rPr>
          <w:rFonts w:ascii="Avenir LT Std 45 Book" w:hAnsi="Avenir LT Std 45 Book" w:cs="Avenir LT Std 45 Book"/>
          <w:noProof/>
        </w:rPr>
      </w:pPr>
    </w:p>
    <w:p w14:paraId="340AD408" w14:textId="77777777" w:rsidR="001700AA" w:rsidRPr="00AC67E7" w:rsidRDefault="001700AA" w:rsidP="001700AA">
      <w:pPr>
        <w:rPr>
          <w:rFonts w:ascii="Avenir LT Std 45 Book" w:hAnsi="Avenir LT Std 45 Book" w:cs="Avenir LT Std 45 Book"/>
          <w:i/>
          <w:noProof/>
        </w:rPr>
      </w:pPr>
      <w:r>
        <w:rPr>
          <w:rFonts w:ascii="Avenir LT Std 45 Book" w:hAnsi="Avenir LT Std 45 Book" w:cs="Avenir LT Std 45 Book"/>
          <w:noProof/>
        </w:rPr>
        <w:t xml:space="preserve">Professor Juss finishes his advice by stating: </w:t>
      </w:r>
      <w:r w:rsidRPr="00BC2445">
        <w:rPr>
          <w:rFonts w:ascii="Avenir LT Std 45 Book" w:hAnsi="Avenir LT Std 45 Book" w:cs="Avenir LT Std 45 Book"/>
          <w:i/>
          <w:noProof/>
        </w:rPr>
        <w:t>a syllabus that</w:t>
      </w:r>
      <w:r>
        <w:rPr>
          <w:rFonts w:ascii="Avenir LT Std 45 Book" w:hAnsi="Avenir LT Std 45 Book" w:cs="Avenir LT Std 45 Book"/>
          <w:i/>
          <w:noProof/>
        </w:rPr>
        <w:t xml:space="preserve"> </w:t>
      </w:r>
      <w:r w:rsidRPr="00BC2445">
        <w:rPr>
          <w:rFonts w:ascii="Avenir LT Std 45 Book" w:hAnsi="Avenir LT Std 45 Book" w:cs="Avenir LT Std 45 Book"/>
          <w:i/>
          <w:noProof/>
        </w:rPr>
        <w:t>excluded detailed study of Humanism but included such study of minority religions would almost certainly be unlawful</w:t>
      </w:r>
      <w:r w:rsidRPr="00BC2445">
        <w:rPr>
          <w:rFonts w:ascii="Avenir LT Std 45 Book" w:hAnsi="Avenir LT Std 45 Book" w:cs="Avenir LT Std 45 Book"/>
          <w:noProof/>
        </w:rPr>
        <w:t>.</w:t>
      </w:r>
      <w:r>
        <w:rPr>
          <w:rFonts w:ascii="Avenir LT Std 45 Book" w:hAnsi="Avenir LT Std 45 Book" w:cs="Avenir LT Std 45 Book"/>
          <w:noProof/>
        </w:rPr>
        <w:t xml:space="preserve"> There are three points to note here: </w:t>
      </w:r>
    </w:p>
    <w:p w14:paraId="1E750A14" w14:textId="77777777" w:rsidR="001700AA" w:rsidRDefault="001700AA" w:rsidP="001700AA">
      <w:pPr>
        <w:rPr>
          <w:rFonts w:ascii="Avenir LT Std 45 Book" w:hAnsi="Avenir LT Std 45 Book" w:cs="Avenir LT Std 45 Book"/>
          <w:noProof/>
        </w:rPr>
      </w:pPr>
    </w:p>
    <w:p w14:paraId="0B106C92" w14:textId="77777777" w:rsidR="001700AA" w:rsidRDefault="001700AA" w:rsidP="001700AA">
      <w:pPr>
        <w:pStyle w:val="ListParagraph"/>
        <w:numPr>
          <w:ilvl w:val="0"/>
          <w:numId w:val="1"/>
        </w:numPr>
        <w:rPr>
          <w:rFonts w:ascii="Avenir LT Std 45 Book" w:hAnsi="Avenir LT Std 45 Book" w:cs="Avenir LT Std 45 Book"/>
          <w:noProof/>
        </w:rPr>
      </w:pPr>
      <w:r>
        <w:rPr>
          <w:rFonts w:ascii="Avenir LT Std 45 Book" w:hAnsi="Avenir LT Std 45 Book" w:cs="Avenir LT Std 45 Book"/>
          <w:noProof/>
        </w:rPr>
        <w:t xml:space="preserve">It is the opinion of Professor Juss that to include minority religions but not Humanism would </w:t>
      </w:r>
      <w:r w:rsidRPr="00BC2445">
        <w:rPr>
          <w:rFonts w:ascii="Avenir LT Std 45 Book" w:hAnsi="Avenir LT Std 45 Book" w:cs="Avenir LT Std 45 Book"/>
          <w:i/>
          <w:noProof/>
        </w:rPr>
        <w:t>almost certainly</w:t>
      </w:r>
      <w:r>
        <w:rPr>
          <w:rFonts w:ascii="Avenir LT Std 45 Book" w:hAnsi="Avenir LT Std 45 Book" w:cs="Avenir LT Std 45 Book"/>
          <w:noProof/>
        </w:rPr>
        <w:t xml:space="preserve"> be unlawful. Only a court could decide this.</w:t>
      </w:r>
    </w:p>
    <w:p w14:paraId="1021E593" w14:textId="5535F2D7" w:rsidR="001700AA" w:rsidRDefault="003959CB" w:rsidP="001700AA">
      <w:pPr>
        <w:pStyle w:val="ListParagraph"/>
        <w:numPr>
          <w:ilvl w:val="0"/>
          <w:numId w:val="1"/>
        </w:numPr>
        <w:rPr>
          <w:rFonts w:ascii="Avenir LT Std 45 Book" w:hAnsi="Avenir LT Std 45 Book" w:cs="Avenir LT Std 45 Book"/>
          <w:noProof/>
        </w:rPr>
      </w:pPr>
      <w:r>
        <w:rPr>
          <w:rFonts w:ascii="Avenir LT Std 45 Book" w:hAnsi="Avenir LT Std 45 Book" w:cs="Avenir LT Std 45 Book"/>
          <w:noProof/>
        </w:rPr>
        <w:lastRenderedPageBreak/>
        <w:t xml:space="preserve">Dr Juss’s </w:t>
      </w:r>
      <w:r w:rsidR="008E4C2E">
        <w:rPr>
          <w:rFonts w:ascii="Avenir LT Std 45 Book" w:hAnsi="Avenir LT Std 45 Book" w:cs="Avenir LT Std 45 Book"/>
          <w:noProof/>
        </w:rPr>
        <w:t xml:space="preserve">guidance appears to be </w:t>
      </w:r>
      <w:r w:rsidR="001700AA">
        <w:rPr>
          <w:rFonts w:ascii="Avenir LT Std 45 Book" w:hAnsi="Avenir LT Std 45 Book" w:cs="Avenir LT Std 45 Book"/>
          <w:noProof/>
        </w:rPr>
        <w:t>discouraging agreed s</w:t>
      </w:r>
      <w:r w:rsidR="001700AA" w:rsidRPr="00BC2445">
        <w:rPr>
          <w:rFonts w:ascii="Avenir LT Std 45 Book" w:hAnsi="Avenir LT Std 45 Book" w:cs="Avenir LT Std 45 Book"/>
          <w:noProof/>
        </w:rPr>
        <w:t xml:space="preserve">yllabuses to require the study of </w:t>
      </w:r>
      <w:r w:rsidR="001700AA">
        <w:rPr>
          <w:rFonts w:ascii="Avenir LT Std 45 Book" w:hAnsi="Avenir LT Std 45 Book" w:cs="Avenir LT Std 45 Book"/>
          <w:noProof/>
        </w:rPr>
        <w:t>a ‘</w:t>
      </w:r>
      <w:r w:rsidR="001700AA" w:rsidRPr="00BC2445">
        <w:rPr>
          <w:rFonts w:ascii="Avenir LT Std 45 Book" w:hAnsi="Avenir LT Std 45 Book" w:cs="Avenir LT Std 45 Book"/>
          <w:noProof/>
        </w:rPr>
        <w:t>minority</w:t>
      </w:r>
      <w:r w:rsidR="001700AA">
        <w:rPr>
          <w:rFonts w:ascii="Avenir LT Std 45 Book" w:hAnsi="Avenir LT Std 45 Book" w:cs="Avenir LT Std 45 Book"/>
          <w:noProof/>
        </w:rPr>
        <w:t>’ religion if Humanism is not to be studied. T</w:t>
      </w:r>
      <w:r w:rsidR="001700AA" w:rsidRPr="00BC2445">
        <w:rPr>
          <w:rFonts w:ascii="Avenir LT Std 45 Book" w:hAnsi="Avenir LT Std 45 Book" w:cs="Avenir LT Std 45 Book"/>
          <w:noProof/>
        </w:rPr>
        <w:t xml:space="preserve">he legislation is clear that RE </w:t>
      </w:r>
      <w:r w:rsidR="008E4C2E">
        <w:rPr>
          <w:rFonts w:ascii="Avenir LT Std 45 Book" w:hAnsi="Avenir LT Std 45 Book" w:cs="Avenir LT Std 45 Book"/>
          <w:noProof/>
        </w:rPr>
        <w:t>syllabuses must re</w:t>
      </w:r>
      <w:r w:rsidR="00490E9A">
        <w:rPr>
          <w:rFonts w:ascii="Avenir LT Std 45 Book" w:hAnsi="Avenir LT Std 45 Book" w:cs="Avenir LT Std 45 Book"/>
          <w:noProof/>
        </w:rPr>
        <w:t>flect</w:t>
      </w:r>
      <w:r w:rsidR="008E4C2E">
        <w:rPr>
          <w:rFonts w:ascii="Avenir LT Std 45 Book" w:hAnsi="Avenir LT Std 45 Book" w:cs="Avenir LT Std 45 Book"/>
          <w:noProof/>
        </w:rPr>
        <w:t xml:space="preserve"> the fact</w:t>
      </w:r>
      <w:r w:rsidR="001700AA" w:rsidRPr="00BC2445">
        <w:rPr>
          <w:rFonts w:ascii="Avenir LT Std 45 Book" w:hAnsi="Avenir LT Std 45 Book" w:cs="Avenir LT Std 45 Book"/>
          <w:noProof/>
        </w:rPr>
        <w:t xml:space="preserve"> the </w:t>
      </w:r>
      <w:r w:rsidR="008E4C2E">
        <w:rPr>
          <w:rFonts w:ascii="Avenir LT Std 45 Book" w:hAnsi="Avenir LT Std 45 Book" w:cs="Avenir LT Std 45 Book"/>
          <w:noProof/>
        </w:rPr>
        <w:t xml:space="preserve">religions to be studied are in the main </w:t>
      </w:r>
      <w:r w:rsidR="001700AA" w:rsidRPr="00BC2445">
        <w:rPr>
          <w:rFonts w:ascii="Avenir LT Std 45 Book" w:hAnsi="Avenir LT Std 45 Book" w:cs="Avenir LT Std 45 Book"/>
          <w:noProof/>
        </w:rPr>
        <w:t>Christianity and the principal religion</w:t>
      </w:r>
      <w:r w:rsidR="001700AA">
        <w:rPr>
          <w:rFonts w:ascii="Avenir LT Std 45 Book" w:hAnsi="Avenir LT Std 45 Book" w:cs="Avenir LT Std 45 Book"/>
          <w:noProof/>
        </w:rPr>
        <w:t xml:space="preserve">s represented in Great Britain – although what those principal religions are is determined by each Agreed Syllabus Conference. </w:t>
      </w:r>
    </w:p>
    <w:p w14:paraId="7F70E548" w14:textId="33A6EC28" w:rsidR="001700AA" w:rsidRDefault="001700AA" w:rsidP="001700AA">
      <w:pPr>
        <w:pStyle w:val="ListParagraph"/>
        <w:numPr>
          <w:ilvl w:val="0"/>
          <w:numId w:val="1"/>
        </w:numPr>
        <w:rPr>
          <w:rFonts w:ascii="Avenir LT Std 45 Book" w:hAnsi="Avenir LT Std 45 Book" w:cs="Avenir LT Std 45 Book"/>
          <w:noProof/>
        </w:rPr>
      </w:pPr>
      <w:r>
        <w:rPr>
          <w:rFonts w:ascii="Avenir LT Std 45 Book" w:hAnsi="Avenir LT Std 45 Book" w:cs="Avenir LT Std 45 Book"/>
          <w:noProof/>
        </w:rPr>
        <w:t xml:space="preserve">The implication </w:t>
      </w:r>
      <w:r w:rsidR="002248E8">
        <w:rPr>
          <w:rFonts w:ascii="Avenir LT Std 45 Book" w:hAnsi="Avenir LT Std 45 Book" w:cs="Avenir LT Std 45 Book"/>
          <w:noProof/>
        </w:rPr>
        <w:t xml:space="preserve">of the guidance is </w:t>
      </w:r>
      <w:r>
        <w:rPr>
          <w:rFonts w:ascii="Avenir LT Std 45 Book" w:hAnsi="Avenir LT Std 45 Book" w:cs="Avenir LT Std 45 Book"/>
          <w:noProof/>
        </w:rPr>
        <w:t>that there will be a systematic study of any religion as a requirement of an agreed syllabus. This does not follow.</w:t>
      </w:r>
    </w:p>
    <w:p w14:paraId="2918F3CB" w14:textId="77777777" w:rsidR="001700AA" w:rsidRDefault="001700AA" w:rsidP="001700AA">
      <w:pPr>
        <w:rPr>
          <w:noProof/>
        </w:rPr>
      </w:pPr>
    </w:p>
    <w:p w14:paraId="04A09FCD" w14:textId="06909385" w:rsidR="006C14B4" w:rsidRDefault="006C14B4" w:rsidP="006C14B4">
      <w:r>
        <w:rPr>
          <w:noProof/>
        </w:rPr>
        <w:t>According to our latest communication from the DfE (10</w:t>
      </w:r>
      <w:r w:rsidRPr="006C14B4">
        <w:rPr>
          <w:noProof/>
          <w:vertAlign w:val="superscript"/>
        </w:rPr>
        <w:t>th</w:t>
      </w:r>
      <w:r>
        <w:rPr>
          <w:noProof/>
        </w:rPr>
        <w:t xml:space="preserve"> May,</w:t>
      </w:r>
      <w:r w:rsidR="009862E5">
        <w:rPr>
          <w:noProof/>
        </w:rPr>
        <w:t xml:space="preserve"> 2016), Mr Justice Warby’s judg</w:t>
      </w:r>
      <w:r>
        <w:rPr>
          <w:noProof/>
        </w:rPr>
        <w:t xml:space="preserve">ment does not have broader impact on any RE curriculum, especially as it was explicitly confined to Key Stage 4.  Whilst an ASC may wish to include the study of a non-religious world view, Professor Juss’s statement: </w:t>
      </w:r>
      <w:r w:rsidRPr="00BC13B7">
        <w:t>‘if there is an option to study a module or modules on one or more principal religions the choice should include a module or modules on one or more princ</w:t>
      </w:r>
      <w:r>
        <w:t>ipal non-religious worldview’s</w:t>
      </w:r>
      <w:r w:rsidR="009862E5">
        <w:t>’ does not follow from the judg</w:t>
      </w:r>
      <w:r>
        <w:t xml:space="preserve">ment. </w:t>
      </w:r>
    </w:p>
    <w:p w14:paraId="211F402F" w14:textId="77777777" w:rsidR="006C14B4" w:rsidRDefault="006C14B4" w:rsidP="006C14B4">
      <w:pPr>
        <w:rPr>
          <w:rFonts w:ascii="Calibri" w:hAnsi="Calibri" w:cs="Calibri"/>
          <w:color w:val="343434"/>
          <w:sz w:val="32"/>
          <w:szCs w:val="32"/>
          <w:lang w:val="en-US"/>
        </w:rPr>
      </w:pPr>
    </w:p>
    <w:p w14:paraId="5D7F30F1" w14:textId="61C1E537" w:rsidR="001700AA" w:rsidRDefault="006C14B4" w:rsidP="006C14B4">
      <w:r>
        <w:t>An</w:t>
      </w:r>
      <w:r w:rsidRPr="00BC13B7">
        <w:t xml:space="preserve"> agreed sy</w:t>
      </w:r>
      <w:r>
        <w:t xml:space="preserve">llabus could make it explicit </w:t>
      </w:r>
      <w:r w:rsidRPr="00BC13B7">
        <w:t>that in any module on a religion the</w:t>
      </w:r>
      <w:r>
        <w:t>re should be critical engagement with the</w:t>
      </w:r>
      <w:r w:rsidRPr="00BC13B7">
        <w:t xml:space="preserve"> material and issues should be raised and explored as to the truth and worth of what the religion claims or asserts</w:t>
      </w:r>
      <w:r>
        <w:t xml:space="preserve"> within a context of mutual respect.</w:t>
      </w:r>
      <w:r w:rsidRPr="00BC13B7">
        <w:t xml:space="preserve">  This would satisfy </w:t>
      </w:r>
      <w:r>
        <w:t xml:space="preserve">the </w:t>
      </w:r>
      <w:r w:rsidRPr="00BC13B7">
        <w:t xml:space="preserve">expectation </w:t>
      </w:r>
      <w:r>
        <w:t>of</w:t>
      </w:r>
      <w:r w:rsidRPr="00BC13B7">
        <w:t xml:space="preserve"> the </w:t>
      </w:r>
      <w:r>
        <w:t xml:space="preserve">judicial review </w:t>
      </w:r>
      <w:r w:rsidRPr="00BC13B7">
        <w:t>that non-confessional education about religion</w:t>
      </w:r>
      <w:r>
        <w:t>s</w:t>
      </w:r>
      <w:r w:rsidRPr="00BC13B7">
        <w:t xml:space="preserve"> needs to be ‘critical and pluralistic’.</w:t>
      </w:r>
      <w:r>
        <w:t xml:space="preserve"> This is not the same as having the requirement to have a module on a non-religious worldview, such as Humanism, to sit alongside modules on the principal religions represented in Great Britain.</w:t>
      </w:r>
      <w:r w:rsidRPr="00BC13B7">
        <w:t xml:space="preserve"> </w:t>
      </w:r>
      <w:r>
        <w:t>Professor</w:t>
      </w:r>
      <w:r w:rsidRPr="00BC13B7">
        <w:t xml:space="preserve"> Juss appears to be arguing that a non-religious worldview </w:t>
      </w:r>
      <w:r>
        <w:t>sh</w:t>
      </w:r>
      <w:r w:rsidRPr="00BC13B7">
        <w:t>ould have equal</w:t>
      </w:r>
      <w:r>
        <w:t>ity of</w:t>
      </w:r>
      <w:r w:rsidRPr="00BC13B7">
        <w:t xml:space="preserve"> time </w:t>
      </w:r>
      <w:r>
        <w:t>with</w:t>
      </w:r>
      <w:r w:rsidRPr="00BC13B7">
        <w:t xml:space="preserve"> specific religious traditions, something that the judicial </w:t>
      </w:r>
      <w:r>
        <w:t>review specifically rules out (see para</w:t>
      </w:r>
      <w:r w:rsidR="009862E5">
        <w:t>graph 74 of the High Court judg</w:t>
      </w:r>
      <w:r>
        <w:t>ment).</w:t>
      </w:r>
    </w:p>
    <w:p w14:paraId="3689F385" w14:textId="77777777" w:rsidR="006C14B4" w:rsidRPr="00E2630F" w:rsidRDefault="006C14B4" w:rsidP="006C14B4">
      <w:pPr>
        <w:rPr>
          <w:rFonts w:ascii="Avenir LT Std 45 Book" w:hAnsi="Avenir LT Std 45 Book" w:cs="Avenir LT Std 45 Book"/>
          <w:noProof/>
        </w:rPr>
      </w:pPr>
    </w:p>
    <w:p w14:paraId="7385825C" w14:textId="77777777" w:rsidR="001700AA" w:rsidRPr="00E81DE7" w:rsidRDefault="001700AA" w:rsidP="001700AA">
      <w:pPr>
        <w:rPr>
          <w:noProof/>
        </w:rPr>
      </w:pPr>
      <w:r>
        <w:rPr>
          <w:lang w:val="en-US"/>
        </w:rPr>
        <w:t>SACREs and ASCs might wish to note Professor Juss’s guidance, but there is no compulsion to act upon it.</w:t>
      </w:r>
    </w:p>
    <w:p w14:paraId="63E70A71" w14:textId="77777777" w:rsidR="001700AA" w:rsidRDefault="001700AA" w:rsidP="001700AA">
      <w:pPr>
        <w:rPr>
          <w:noProof/>
        </w:rPr>
      </w:pPr>
    </w:p>
    <w:p w14:paraId="3188772E" w14:textId="098C3852" w:rsidR="001700AA" w:rsidRDefault="001700AA" w:rsidP="001700AA">
      <w:pPr>
        <w:rPr>
          <w:noProof/>
        </w:rPr>
      </w:pPr>
      <w:r>
        <w:rPr>
          <w:noProof/>
        </w:rPr>
        <w:t>David Hampshire</w:t>
      </w:r>
      <w:r w:rsidR="0084676F">
        <w:rPr>
          <w:noProof/>
        </w:rPr>
        <w:tab/>
      </w:r>
      <w:r w:rsidR="0084676F">
        <w:rPr>
          <w:noProof/>
        </w:rPr>
        <w:tab/>
      </w:r>
      <w:r w:rsidR="0084676F">
        <w:rPr>
          <w:noProof/>
        </w:rPr>
        <w:tab/>
      </w:r>
      <w:r w:rsidR="0084676F">
        <w:rPr>
          <w:noProof/>
        </w:rPr>
        <w:tab/>
      </w:r>
      <w:r w:rsidR="0084676F">
        <w:rPr>
          <w:noProof/>
        </w:rPr>
        <w:tab/>
        <w:t>Dilwyn Hunt</w:t>
      </w:r>
    </w:p>
    <w:p w14:paraId="5B50E94A" w14:textId="63594634" w:rsidR="001700AA" w:rsidRDefault="001700AA" w:rsidP="001700AA">
      <w:r>
        <w:rPr>
          <w:noProof/>
        </w:rPr>
        <w:t>Chair of NASACRE</w:t>
      </w:r>
      <w:r w:rsidR="0084676F">
        <w:rPr>
          <w:noProof/>
        </w:rPr>
        <w:tab/>
      </w:r>
      <w:r w:rsidR="0084676F">
        <w:rPr>
          <w:noProof/>
        </w:rPr>
        <w:tab/>
      </w:r>
      <w:r w:rsidR="0084676F">
        <w:rPr>
          <w:noProof/>
        </w:rPr>
        <w:tab/>
      </w:r>
      <w:r w:rsidR="0084676F">
        <w:rPr>
          <w:noProof/>
        </w:rPr>
        <w:tab/>
      </w:r>
      <w:r w:rsidR="0084676F">
        <w:rPr>
          <w:noProof/>
        </w:rPr>
        <w:tab/>
        <w:t>Chair of AREIAC</w:t>
      </w:r>
    </w:p>
    <w:sectPr w:rsidR="001700AA" w:rsidSect="00100C3D">
      <w:footnotePr>
        <w:pos w:val="beneathText"/>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C4A2" w14:textId="77777777" w:rsidR="00CD68A2" w:rsidRDefault="00CD68A2" w:rsidP="00100C3D">
      <w:r>
        <w:separator/>
      </w:r>
    </w:p>
  </w:endnote>
  <w:endnote w:type="continuationSeparator" w:id="0">
    <w:p w14:paraId="3D88C42D" w14:textId="77777777" w:rsidR="00CD68A2" w:rsidRDefault="00CD68A2" w:rsidP="00100C3D">
      <w:r>
        <w:continuationSeparator/>
      </w:r>
    </w:p>
  </w:endnote>
  <w:endnote w:id="1">
    <w:p w14:paraId="245EDC07" w14:textId="77777777" w:rsidR="00100C3D" w:rsidRPr="00100C3D" w:rsidRDefault="00100C3D" w:rsidP="00100C3D">
      <w:pPr>
        <w:widowControl w:val="0"/>
        <w:autoSpaceDE w:val="0"/>
        <w:autoSpaceDN w:val="0"/>
        <w:adjustRightInd w:val="0"/>
        <w:spacing w:after="240" w:line="360" w:lineRule="atLeast"/>
        <w:rPr>
          <w:sz w:val="16"/>
          <w:szCs w:val="16"/>
        </w:rPr>
      </w:pPr>
      <w:r>
        <w:rPr>
          <w:rStyle w:val="EndnoteReference"/>
        </w:rPr>
        <w:endnoteRef/>
      </w:r>
      <w:r>
        <w:t xml:space="preserve"> </w:t>
      </w:r>
      <w:r w:rsidRPr="00100C3D">
        <w:rPr>
          <w:sz w:val="16"/>
          <w:szCs w:val="16"/>
          <w:lang w:val="en-US"/>
        </w:rPr>
        <w:t xml:space="preserve">A2P1 relates to: </w:t>
      </w:r>
      <w:r w:rsidRPr="00100C3D">
        <w:rPr>
          <w:sz w:val="16"/>
          <w:szCs w:val="16"/>
        </w:rPr>
        <w:t xml:space="preserve">Human Rights Act 1998, of Article 9 of the Convention (Freedom of thought, conscience and religion) and Article 2 of the First Protocol (“A2P1”) (Right to education). </w:t>
      </w:r>
    </w:p>
    <w:p w14:paraId="1266FBEE" w14:textId="67A0F188" w:rsidR="00100C3D" w:rsidRPr="00100C3D" w:rsidRDefault="00100C3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45 Book">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15C2" w14:textId="77777777" w:rsidR="00CD68A2" w:rsidRDefault="00CD68A2" w:rsidP="00100C3D">
      <w:r>
        <w:separator/>
      </w:r>
    </w:p>
  </w:footnote>
  <w:footnote w:type="continuationSeparator" w:id="0">
    <w:p w14:paraId="44BB8644" w14:textId="77777777" w:rsidR="00CD68A2" w:rsidRDefault="00CD68A2" w:rsidP="00100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91A8D"/>
    <w:multiLevelType w:val="hybridMultilevel"/>
    <w:tmpl w:val="89A86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AA"/>
    <w:rsid w:val="00035F12"/>
    <w:rsid w:val="00100C3D"/>
    <w:rsid w:val="001700AA"/>
    <w:rsid w:val="002248E8"/>
    <w:rsid w:val="00320BA2"/>
    <w:rsid w:val="003959CB"/>
    <w:rsid w:val="00490E9A"/>
    <w:rsid w:val="004E4749"/>
    <w:rsid w:val="005528FF"/>
    <w:rsid w:val="006C14B4"/>
    <w:rsid w:val="0084676F"/>
    <w:rsid w:val="0089233A"/>
    <w:rsid w:val="008E4C2E"/>
    <w:rsid w:val="00946B83"/>
    <w:rsid w:val="009862E5"/>
    <w:rsid w:val="00BC0F27"/>
    <w:rsid w:val="00C76A17"/>
    <w:rsid w:val="00CD68A2"/>
    <w:rsid w:val="00F45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8D34F"/>
  <w14:defaultImageDpi w14:val="300"/>
  <w15:docId w15:val="{9D62CB5F-01F7-41F9-8F65-CE6EE8E5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0AA"/>
    <w:rPr>
      <w:color w:val="0000FF" w:themeColor="hyperlink"/>
      <w:u w:val="single"/>
    </w:rPr>
  </w:style>
  <w:style w:type="paragraph" w:styleId="ListParagraph">
    <w:name w:val="List Paragraph"/>
    <w:basedOn w:val="Normal"/>
    <w:uiPriority w:val="34"/>
    <w:qFormat/>
    <w:rsid w:val="001700AA"/>
    <w:pPr>
      <w:ind w:left="720"/>
      <w:contextualSpacing/>
    </w:pPr>
  </w:style>
  <w:style w:type="paragraph" w:styleId="FootnoteText">
    <w:name w:val="footnote text"/>
    <w:basedOn w:val="Normal"/>
    <w:link w:val="FootnoteTextChar"/>
    <w:uiPriority w:val="99"/>
    <w:unhideWhenUsed/>
    <w:rsid w:val="00100C3D"/>
  </w:style>
  <w:style w:type="character" w:customStyle="1" w:styleId="FootnoteTextChar">
    <w:name w:val="Footnote Text Char"/>
    <w:basedOn w:val="DefaultParagraphFont"/>
    <w:link w:val="FootnoteText"/>
    <w:uiPriority w:val="99"/>
    <w:rsid w:val="00100C3D"/>
  </w:style>
  <w:style w:type="character" w:styleId="FootnoteReference">
    <w:name w:val="footnote reference"/>
    <w:basedOn w:val="DefaultParagraphFont"/>
    <w:uiPriority w:val="99"/>
    <w:unhideWhenUsed/>
    <w:rsid w:val="00100C3D"/>
    <w:rPr>
      <w:vertAlign w:val="superscript"/>
    </w:rPr>
  </w:style>
  <w:style w:type="paragraph" w:styleId="EndnoteText">
    <w:name w:val="endnote text"/>
    <w:basedOn w:val="Normal"/>
    <w:link w:val="EndnoteTextChar"/>
    <w:uiPriority w:val="99"/>
    <w:unhideWhenUsed/>
    <w:rsid w:val="00100C3D"/>
  </w:style>
  <w:style w:type="character" w:customStyle="1" w:styleId="EndnoteTextChar">
    <w:name w:val="Endnote Text Char"/>
    <w:basedOn w:val="DefaultParagraphFont"/>
    <w:link w:val="EndnoteText"/>
    <w:uiPriority w:val="99"/>
    <w:rsid w:val="00100C3D"/>
  </w:style>
  <w:style w:type="character" w:styleId="EndnoteReference">
    <w:name w:val="endnote reference"/>
    <w:basedOn w:val="DefaultParagraphFont"/>
    <w:uiPriority w:val="99"/>
    <w:unhideWhenUsed/>
    <w:rsid w:val="00100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488477/RS_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Hampshire</dc:creator>
  <cp:lastModifiedBy>Lloyd, Alison</cp:lastModifiedBy>
  <cp:revision>2</cp:revision>
  <dcterms:created xsi:type="dcterms:W3CDTF">2016-05-19T09:35:00Z</dcterms:created>
  <dcterms:modified xsi:type="dcterms:W3CDTF">2016-05-19T09:35:00Z</dcterms:modified>
</cp:coreProperties>
</file>